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Pr="00A35735" w:rsidRDefault="00C6001B" w:rsidP="00877190">
      <w:pPr>
        <w:jc w:val="both"/>
        <w:rPr>
          <w:lang w:val="en-US"/>
        </w:rPr>
      </w:pPr>
    </w:p>
    <w:p w:rsidR="00C6001B" w:rsidRDefault="00C6001B" w:rsidP="00877190">
      <w:pPr>
        <w:jc w:val="both"/>
      </w:pPr>
    </w:p>
    <w:p w:rsidR="003B6A23" w:rsidRDefault="00A35735" w:rsidP="00A35735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   </w:t>
      </w:r>
      <w:r w:rsidR="003B6A23">
        <w:rPr>
          <w:rFonts w:cs="Times New Roman"/>
          <w:szCs w:val="28"/>
          <w:lang w:val="en-US"/>
        </w:rPr>
        <w:t xml:space="preserve">                                                                               </w:t>
      </w:r>
      <w:r w:rsidR="003B6A23">
        <w:rPr>
          <w:rFonts w:cs="Times New Roman"/>
          <w:szCs w:val="28"/>
        </w:rPr>
        <w:t>19.02.2016 вступил в силу</w:t>
      </w:r>
      <w:r w:rsidR="003B6A23">
        <w:rPr>
          <w:rFonts w:cs="Times New Roman"/>
          <w:szCs w:val="28"/>
          <w:lang w:val="en-US"/>
        </w:rPr>
        <w:t>.</w:t>
      </w:r>
    </w:p>
    <w:p w:rsidR="003B6A23" w:rsidRPr="003B6A23" w:rsidRDefault="003B6A23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A357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B6A23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35735"/>
    <w:rsid w:val="00A529FC"/>
    <w:rsid w:val="00AA1533"/>
    <w:rsid w:val="00C6001B"/>
    <w:rsid w:val="00D04C24"/>
    <w:rsid w:val="00D10335"/>
    <w:rsid w:val="00D86620"/>
    <w:rsid w:val="00DB6F48"/>
    <w:rsid w:val="00DB7397"/>
    <w:rsid w:val="00DC1975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Татьяна</cp:lastModifiedBy>
  <cp:revision>5</cp:revision>
  <cp:lastPrinted>2014-06-05T06:17:00Z</cp:lastPrinted>
  <dcterms:created xsi:type="dcterms:W3CDTF">2016-02-19T02:01:00Z</dcterms:created>
  <dcterms:modified xsi:type="dcterms:W3CDTF">2016-02-20T02:05:00Z</dcterms:modified>
</cp:coreProperties>
</file>